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3021"/>
        <w:gridCol w:w="1471"/>
        <w:gridCol w:w="2659"/>
      </w:tblGrid>
      <w:tr w:rsidR="007A4D16" w:rsidRPr="007A4D16" w:rsidTr="00914E48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7A4D16">
              <w:rPr>
                <w:sz w:val="24"/>
                <w:szCs w:val="24"/>
              </w:rPr>
              <w:t>Naziv:</w:t>
            </w:r>
          </w:p>
        </w:tc>
        <w:tc>
          <w:tcPr>
            <w:tcW w:w="7151" w:type="dxa"/>
            <w:gridSpan w:val="3"/>
          </w:tcPr>
          <w:p w:rsidR="007A4D16" w:rsidRPr="007A4D16" w:rsidRDefault="00821EC0" w:rsidP="007A4D1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Gradska knjižnica Umag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Sjedište: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52470 </w:t>
            </w:r>
            <w:r w:rsidRPr="007A4D16">
              <w:rPr>
                <w:b/>
                <w:sz w:val="24"/>
                <w:szCs w:val="24"/>
              </w:rPr>
              <w:t>Umag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RKP-a:</w:t>
            </w:r>
          </w:p>
        </w:tc>
        <w:tc>
          <w:tcPr>
            <w:tcW w:w="2659" w:type="dxa"/>
          </w:tcPr>
          <w:p w:rsidR="007A4D16" w:rsidRPr="007A4D16" w:rsidRDefault="00CB7D74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42387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Adresa sjedišta: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Trgovačka 6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Matični broj:</w:t>
            </w:r>
          </w:p>
        </w:tc>
        <w:tc>
          <w:tcPr>
            <w:tcW w:w="2659" w:type="dxa"/>
          </w:tcPr>
          <w:p w:rsidR="007A4D16" w:rsidRPr="007A4D16" w:rsidRDefault="00CB7D74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02113309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Šifra grada: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 w:rsidRPr="007A4D16">
              <w:rPr>
                <w:b/>
                <w:sz w:val="24"/>
                <w:szCs w:val="24"/>
              </w:rPr>
              <w:t>468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</w:t>
            </w:r>
          </w:p>
        </w:tc>
        <w:tc>
          <w:tcPr>
            <w:tcW w:w="2659" w:type="dxa"/>
          </w:tcPr>
          <w:p w:rsidR="007A4D16" w:rsidRPr="007A4D16" w:rsidRDefault="00821EC0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69807399024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Šifra županije: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 w:rsidRPr="007A4D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Razdoblje:</w:t>
            </w:r>
          </w:p>
        </w:tc>
        <w:tc>
          <w:tcPr>
            <w:tcW w:w="2659" w:type="dxa"/>
          </w:tcPr>
          <w:p w:rsidR="007A4D16" w:rsidRPr="007A4D16" w:rsidRDefault="00384040" w:rsidP="00384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  <w:r w:rsidR="00420FF3">
              <w:rPr>
                <w:b/>
                <w:sz w:val="24"/>
                <w:szCs w:val="24"/>
              </w:rPr>
              <w:t>-202</w:t>
            </w:r>
            <w:r w:rsidR="00461F11">
              <w:rPr>
                <w:b/>
                <w:sz w:val="24"/>
                <w:szCs w:val="24"/>
              </w:rPr>
              <w:t>4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Razina: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</w:p>
        </w:tc>
      </w:tr>
    </w:tbl>
    <w:p w:rsidR="007A4D16" w:rsidRPr="007A4D16" w:rsidRDefault="007A4D16" w:rsidP="007A4D16"/>
    <w:p w:rsidR="007A4D16" w:rsidRPr="007A4D16" w:rsidRDefault="007A4D16" w:rsidP="007A4D16"/>
    <w:p w:rsidR="00420FF3" w:rsidRPr="00651791" w:rsidRDefault="00420FF3" w:rsidP="00420FF3">
      <w:pPr>
        <w:jc w:val="center"/>
        <w:rPr>
          <w:b/>
          <w:sz w:val="32"/>
          <w:szCs w:val="24"/>
        </w:rPr>
      </w:pPr>
      <w:r w:rsidRPr="00651791">
        <w:rPr>
          <w:b/>
          <w:sz w:val="32"/>
          <w:szCs w:val="24"/>
        </w:rPr>
        <w:t>BILJEŠKE UZ FINANCIJSKE IZVJEŠTAJE</w:t>
      </w:r>
    </w:p>
    <w:p w:rsidR="00420FF3" w:rsidRPr="00651791" w:rsidRDefault="00420FF3" w:rsidP="00420FF3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za razdoblje od 01.01.202</w:t>
      </w:r>
      <w:r w:rsidR="00461F11">
        <w:rPr>
          <w:b/>
          <w:sz w:val="32"/>
          <w:szCs w:val="24"/>
        </w:rPr>
        <w:t>4</w:t>
      </w:r>
      <w:r>
        <w:rPr>
          <w:b/>
          <w:sz w:val="32"/>
          <w:szCs w:val="24"/>
        </w:rPr>
        <w:t>. do 3</w:t>
      </w:r>
      <w:r w:rsidR="006F307E">
        <w:rPr>
          <w:b/>
          <w:sz w:val="32"/>
          <w:szCs w:val="24"/>
        </w:rPr>
        <w:t>0</w:t>
      </w:r>
      <w:r>
        <w:rPr>
          <w:b/>
          <w:sz w:val="32"/>
          <w:szCs w:val="24"/>
        </w:rPr>
        <w:t>.</w:t>
      </w:r>
      <w:r w:rsidR="006F307E">
        <w:rPr>
          <w:b/>
          <w:sz w:val="32"/>
          <w:szCs w:val="24"/>
        </w:rPr>
        <w:t>06</w:t>
      </w:r>
      <w:r>
        <w:rPr>
          <w:b/>
          <w:sz w:val="32"/>
          <w:szCs w:val="24"/>
        </w:rPr>
        <w:t>.202</w:t>
      </w:r>
      <w:r w:rsidR="00461F11">
        <w:rPr>
          <w:b/>
          <w:sz w:val="32"/>
          <w:szCs w:val="24"/>
        </w:rPr>
        <w:t>4</w:t>
      </w:r>
      <w:r>
        <w:rPr>
          <w:b/>
          <w:sz w:val="32"/>
          <w:szCs w:val="24"/>
        </w:rPr>
        <w:t>.</w:t>
      </w:r>
    </w:p>
    <w:p w:rsidR="00420FF3" w:rsidRPr="00651791" w:rsidRDefault="00420FF3" w:rsidP="00420FF3">
      <w:pPr>
        <w:keepNext/>
        <w:keepLines/>
        <w:spacing w:before="200" w:after="0"/>
        <w:outlineLvl w:val="1"/>
        <w:rPr>
          <w:rFonts w:eastAsia="Times New Roman"/>
          <w:b/>
          <w:bCs/>
          <w:color w:val="4F81BD"/>
          <w:sz w:val="24"/>
          <w:szCs w:val="24"/>
        </w:rPr>
      </w:pPr>
    </w:p>
    <w:p w:rsidR="00420FF3" w:rsidRPr="00651791" w:rsidRDefault="00420FF3" w:rsidP="00420FF3">
      <w:pPr>
        <w:keepNext/>
        <w:keepLines/>
        <w:spacing w:before="200" w:after="0"/>
        <w:outlineLvl w:val="1"/>
        <w:rPr>
          <w:rFonts w:eastAsia="Times New Roman"/>
          <w:b/>
          <w:bCs/>
          <w:color w:val="4F81BD"/>
          <w:sz w:val="24"/>
          <w:szCs w:val="24"/>
        </w:rPr>
      </w:pPr>
    </w:p>
    <w:p w:rsidR="006F307E" w:rsidRDefault="006F307E" w:rsidP="006F307E">
      <w:pPr>
        <w:keepNext/>
        <w:keepLines/>
        <w:spacing w:before="200" w:after="0"/>
        <w:outlineLvl w:val="1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Na temelju Pravilnika o financijskom izvještavanju u proračunskom računovodstvu (N.N. 37/22) obveznici financijskog izvještavanja dužni su sastaviti Bilješke uz financijske izvještaje s detaljnom razradom i dopunom podataka uz ostale financijske izvještaje.</w:t>
      </w:r>
    </w:p>
    <w:p w:rsidR="006F307E" w:rsidRDefault="006F307E" w:rsidP="006F307E">
      <w:pPr>
        <w:ind w:left="720"/>
        <w:contextualSpacing/>
        <w:rPr>
          <w:sz w:val="24"/>
          <w:szCs w:val="24"/>
        </w:rPr>
      </w:pPr>
    </w:p>
    <w:p w:rsidR="00921128" w:rsidRPr="005D624A" w:rsidRDefault="00821EC0" w:rsidP="00BF7579">
      <w:pPr>
        <w:jc w:val="both"/>
        <w:rPr>
          <w:sz w:val="24"/>
          <w:szCs w:val="24"/>
        </w:rPr>
      </w:pPr>
      <w:r w:rsidRPr="005D624A">
        <w:rPr>
          <w:sz w:val="24"/>
          <w:szCs w:val="24"/>
        </w:rPr>
        <w:t>Gradska knjižnica</w:t>
      </w:r>
      <w:r w:rsidR="00915A7D" w:rsidRPr="005D624A">
        <w:rPr>
          <w:sz w:val="24"/>
          <w:szCs w:val="24"/>
        </w:rPr>
        <w:t xml:space="preserve"> je p</w:t>
      </w:r>
      <w:r w:rsidR="00A75017" w:rsidRPr="005D624A">
        <w:rPr>
          <w:sz w:val="24"/>
          <w:szCs w:val="24"/>
        </w:rPr>
        <w:t xml:space="preserve">roračunski korisnik Grada Umaga i </w:t>
      </w:r>
      <w:r w:rsidR="00921128" w:rsidRPr="005D624A">
        <w:rPr>
          <w:sz w:val="24"/>
          <w:szCs w:val="24"/>
        </w:rPr>
        <w:t xml:space="preserve">od 2009. </w:t>
      </w:r>
      <w:r w:rsidR="00E35A45" w:rsidRPr="005D624A">
        <w:rPr>
          <w:sz w:val="24"/>
          <w:szCs w:val="24"/>
        </w:rPr>
        <w:t>g</w:t>
      </w:r>
      <w:r w:rsidR="00A75017" w:rsidRPr="005D624A">
        <w:rPr>
          <w:sz w:val="24"/>
          <w:szCs w:val="24"/>
        </w:rPr>
        <w:t>odine u sustavu je  L</w:t>
      </w:r>
      <w:r w:rsidR="00921128" w:rsidRPr="005D624A">
        <w:rPr>
          <w:sz w:val="24"/>
          <w:szCs w:val="24"/>
        </w:rPr>
        <w:t>okalne riznice Grada Umaga.</w:t>
      </w:r>
    </w:p>
    <w:p w:rsidR="00921128" w:rsidRPr="005D624A" w:rsidRDefault="00A75017" w:rsidP="00DE0A81">
      <w:pPr>
        <w:jc w:val="both"/>
        <w:rPr>
          <w:sz w:val="24"/>
          <w:szCs w:val="24"/>
        </w:rPr>
      </w:pPr>
      <w:r w:rsidRPr="005D624A">
        <w:rPr>
          <w:sz w:val="24"/>
          <w:szCs w:val="24"/>
        </w:rPr>
        <w:t xml:space="preserve">Sukladno </w:t>
      </w:r>
      <w:r w:rsidR="00912779">
        <w:rPr>
          <w:sz w:val="24"/>
          <w:szCs w:val="24"/>
        </w:rPr>
        <w:t>O</w:t>
      </w:r>
      <w:r w:rsidRPr="005D624A">
        <w:rPr>
          <w:sz w:val="24"/>
          <w:szCs w:val="24"/>
        </w:rPr>
        <w:t>dlu</w:t>
      </w:r>
      <w:r w:rsidR="00912779">
        <w:rPr>
          <w:sz w:val="24"/>
          <w:szCs w:val="24"/>
        </w:rPr>
        <w:t>ci</w:t>
      </w:r>
      <w:r w:rsidRPr="005D624A">
        <w:rPr>
          <w:sz w:val="24"/>
          <w:szCs w:val="24"/>
        </w:rPr>
        <w:t xml:space="preserve"> o izvršavanju proračuna Grada Umaga za 20</w:t>
      </w:r>
      <w:r w:rsidR="002B1968">
        <w:rPr>
          <w:sz w:val="24"/>
          <w:szCs w:val="24"/>
        </w:rPr>
        <w:t>2</w:t>
      </w:r>
      <w:r w:rsidR="00461F11">
        <w:rPr>
          <w:sz w:val="24"/>
          <w:szCs w:val="24"/>
        </w:rPr>
        <w:t>4</w:t>
      </w:r>
      <w:r w:rsidRPr="005D624A">
        <w:rPr>
          <w:sz w:val="24"/>
          <w:szCs w:val="24"/>
        </w:rPr>
        <w:t>. godinu prioritetno se terete izvori financiranja vl</w:t>
      </w:r>
      <w:r w:rsidR="005C07A1" w:rsidRPr="005D624A">
        <w:rPr>
          <w:sz w:val="24"/>
          <w:szCs w:val="24"/>
        </w:rPr>
        <w:t>a</w:t>
      </w:r>
      <w:r w:rsidRPr="005D624A">
        <w:rPr>
          <w:sz w:val="24"/>
          <w:szCs w:val="24"/>
        </w:rPr>
        <w:t>stitih prihoda, donacija, prihoda po posebnim propisima te pomoći, a tek nakon toga izvor Općih prihoda i primitaka Grada Umaga.</w:t>
      </w:r>
    </w:p>
    <w:p w:rsidR="00D764D9" w:rsidRPr="00891FE0" w:rsidRDefault="005C07A1" w:rsidP="00891FE0">
      <w:pPr>
        <w:keepNext/>
        <w:keepLines/>
        <w:spacing w:before="200" w:after="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 w:rsidRPr="00891FE0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Bilješke uz Izvještaj o prihodima i rashodima, primicima i izdacima – OBRAZAC PR-RAS</w:t>
      </w:r>
    </w:p>
    <w:p w:rsidR="00A9449F" w:rsidRPr="005D624A" w:rsidRDefault="00A9449F" w:rsidP="00A9449F">
      <w:pPr>
        <w:pStyle w:val="ListParagraph"/>
        <w:keepNext/>
        <w:keepLines/>
        <w:spacing w:before="200" w:after="0"/>
        <w:ind w:left="36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</w:rPr>
      </w:pPr>
    </w:p>
    <w:p w:rsidR="005C07A1" w:rsidRPr="00891FE0" w:rsidRDefault="00384040" w:rsidP="00891FE0">
      <w:pPr>
        <w:jc w:val="both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 xml:space="preserve">Šifra </w:t>
      </w:r>
      <w:r w:rsidR="0001585E" w:rsidRPr="00891FE0">
        <w:rPr>
          <w:rFonts w:eastAsiaTheme="majorEastAsia" w:cstheme="majorBidi"/>
          <w:b/>
          <w:bCs/>
          <w:sz w:val="24"/>
          <w:szCs w:val="24"/>
        </w:rPr>
        <w:t>6</w:t>
      </w:r>
      <w:r w:rsidR="0001585E" w:rsidRPr="00891FE0">
        <w:rPr>
          <w:rFonts w:eastAsiaTheme="majorEastAsia" w:cstheme="majorBidi"/>
          <w:bCs/>
          <w:sz w:val="24"/>
          <w:szCs w:val="24"/>
        </w:rPr>
        <w:t xml:space="preserve"> - </w:t>
      </w:r>
      <w:r w:rsidR="005C07A1" w:rsidRPr="00891FE0">
        <w:rPr>
          <w:rFonts w:eastAsiaTheme="majorEastAsia" w:cstheme="majorBidi"/>
          <w:b/>
          <w:bCs/>
          <w:sz w:val="24"/>
          <w:szCs w:val="24"/>
        </w:rPr>
        <w:t>Prihodi poslovanja</w:t>
      </w:r>
    </w:p>
    <w:p w:rsidR="008E1E8F" w:rsidRDefault="005C07A1" w:rsidP="00D9702B">
      <w:pPr>
        <w:jc w:val="both"/>
      </w:pPr>
      <w:r w:rsidRPr="005D624A">
        <w:rPr>
          <w:rFonts w:eastAsiaTheme="majorEastAsia" w:cstheme="majorBidi"/>
          <w:bCs/>
          <w:sz w:val="24"/>
          <w:szCs w:val="24"/>
        </w:rPr>
        <w:t>Uku</w:t>
      </w:r>
      <w:r w:rsidR="00CA4BC6" w:rsidRPr="005D624A">
        <w:rPr>
          <w:rFonts w:eastAsiaTheme="majorEastAsia" w:cstheme="majorBidi"/>
          <w:bCs/>
          <w:sz w:val="24"/>
          <w:szCs w:val="24"/>
        </w:rPr>
        <w:t>pni prihodi poslovanja u 20</w:t>
      </w:r>
      <w:r w:rsidR="00071CB0">
        <w:rPr>
          <w:rFonts w:eastAsiaTheme="majorEastAsia" w:cstheme="majorBidi"/>
          <w:bCs/>
          <w:sz w:val="24"/>
          <w:szCs w:val="24"/>
        </w:rPr>
        <w:t>2</w:t>
      </w:r>
      <w:r w:rsidR="006044EB">
        <w:rPr>
          <w:rFonts w:eastAsiaTheme="majorEastAsia" w:cstheme="majorBidi"/>
          <w:bCs/>
          <w:sz w:val="24"/>
          <w:szCs w:val="24"/>
        </w:rPr>
        <w:t>4</w:t>
      </w:r>
      <w:r w:rsidR="00CA4BC6" w:rsidRPr="005D624A">
        <w:rPr>
          <w:rFonts w:eastAsiaTheme="majorEastAsia" w:cstheme="majorBidi"/>
          <w:bCs/>
          <w:sz w:val="24"/>
          <w:szCs w:val="24"/>
        </w:rPr>
        <w:t xml:space="preserve">. </w:t>
      </w:r>
      <w:r w:rsidR="00384040">
        <w:rPr>
          <w:rFonts w:eastAsiaTheme="majorEastAsia" w:cstheme="majorBidi"/>
          <w:bCs/>
          <w:sz w:val="24"/>
          <w:szCs w:val="24"/>
        </w:rPr>
        <w:t xml:space="preserve">imaju </w:t>
      </w:r>
      <w:r w:rsidRPr="005D624A">
        <w:rPr>
          <w:rFonts w:eastAsiaTheme="majorEastAsia" w:cstheme="majorBidi"/>
          <w:bCs/>
          <w:sz w:val="24"/>
          <w:szCs w:val="24"/>
        </w:rPr>
        <w:t>indeks ostvarenja od</w:t>
      </w:r>
      <w:r w:rsidR="00384040">
        <w:rPr>
          <w:rFonts w:eastAsiaTheme="majorEastAsia" w:cstheme="majorBidi"/>
          <w:bCs/>
          <w:sz w:val="24"/>
          <w:szCs w:val="24"/>
        </w:rPr>
        <w:t xml:space="preserve"> 1</w:t>
      </w:r>
      <w:r w:rsidR="00D9702B">
        <w:rPr>
          <w:rFonts w:eastAsiaTheme="majorEastAsia" w:cstheme="majorBidi"/>
          <w:bCs/>
          <w:sz w:val="24"/>
          <w:szCs w:val="24"/>
        </w:rPr>
        <w:t>32</w:t>
      </w:r>
      <w:r w:rsidR="00384040">
        <w:rPr>
          <w:rFonts w:eastAsiaTheme="majorEastAsia" w:cstheme="majorBidi"/>
          <w:bCs/>
          <w:sz w:val="24"/>
          <w:szCs w:val="24"/>
        </w:rPr>
        <w:t>,</w:t>
      </w:r>
      <w:r w:rsidR="00D9702B">
        <w:rPr>
          <w:rFonts w:eastAsiaTheme="majorEastAsia" w:cstheme="majorBidi"/>
          <w:bCs/>
          <w:sz w:val="24"/>
          <w:szCs w:val="24"/>
        </w:rPr>
        <w:t>6</w:t>
      </w:r>
      <w:r w:rsidR="00384040">
        <w:rPr>
          <w:rFonts w:eastAsiaTheme="majorEastAsia" w:cstheme="majorBidi"/>
          <w:bCs/>
          <w:sz w:val="24"/>
          <w:szCs w:val="24"/>
        </w:rPr>
        <w:t xml:space="preserve"> </w:t>
      </w:r>
      <w:r w:rsidR="005A5BE0">
        <w:rPr>
          <w:rFonts w:eastAsiaTheme="majorEastAsia" w:cstheme="majorBidi"/>
          <w:bCs/>
          <w:sz w:val="24"/>
          <w:szCs w:val="24"/>
        </w:rPr>
        <w:t xml:space="preserve">u odnosu na isto razdoblje </w:t>
      </w:r>
      <w:r w:rsidRPr="005D624A">
        <w:rPr>
          <w:rFonts w:eastAsiaTheme="majorEastAsia" w:cstheme="majorBidi"/>
          <w:bCs/>
          <w:sz w:val="24"/>
          <w:szCs w:val="24"/>
        </w:rPr>
        <w:t>prethodn</w:t>
      </w:r>
      <w:r w:rsidR="00384040">
        <w:rPr>
          <w:rFonts w:eastAsiaTheme="majorEastAsia" w:cstheme="majorBidi"/>
          <w:bCs/>
          <w:sz w:val="24"/>
          <w:szCs w:val="24"/>
        </w:rPr>
        <w:t>e</w:t>
      </w:r>
      <w:r w:rsidRPr="005D624A">
        <w:rPr>
          <w:rFonts w:eastAsiaTheme="majorEastAsia" w:cstheme="majorBidi"/>
          <w:bCs/>
          <w:sz w:val="24"/>
          <w:szCs w:val="24"/>
        </w:rPr>
        <w:t xml:space="preserve"> godin</w:t>
      </w:r>
      <w:r w:rsidR="00384040">
        <w:rPr>
          <w:rFonts w:eastAsiaTheme="majorEastAsia" w:cstheme="majorBidi"/>
          <w:bCs/>
          <w:sz w:val="24"/>
          <w:szCs w:val="24"/>
        </w:rPr>
        <w:t>e</w:t>
      </w:r>
      <w:r w:rsidRPr="005D624A">
        <w:rPr>
          <w:rFonts w:eastAsiaTheme="majorEastAsia" w:cstheme="majorBidi"/>
          <w:bCs/>
          <w:sz w:val="24"/>
          <w:szCs w:val="24"/>
        </w:rPr>
        <w:t xml:space="preserve">. </w:t>
      </w:r>
      <w:r w:rsidR="005A5BE0">
        <w:rPr>
          <w:rFonts w:eastAsiaTheme="majorEastAsia" w:cstheme="majorBidi"/>
          <w:bCs/>
          <w:sz w:val="24"/>
          <w:szCs w:val="24"/>
        </w:rPr>
        <w:t xml:space="preserve">Najveći dio se odnosi na prihode iz gradskog proračuna </w:t>
      </w:r>
      <w:r w:rsidR="00D9702B">
        <w:rPr>
          <w:rFonts w:eastAsiaTheme="majorEastAsia" w:cstheme="majorBidi"/>
          <w:bCs/>
          <w:sz w:val="24"/>
          <w:szCs w:val="24"/>
        </w:rPr>
        <w:t>uz indeks 120,5 koji</w:t>
      </w:r>
      <w:r w:rsidR="005A5BE0">
        <w:rPr>
          <w:rFonts w:eastAsiaTheme="majorEastAsia" w:cstheme="majorBidi"/>
          <w:bCs/>
          <w:sz w:val="24"/>
          <w:szCs w:val="24"/>
        </w:rPr>
        <w:t xml:space="preserve"> prat</w:t>
      </w:r>
      <w:r w:rsidR="00D9702B">
        <w:rPr>
          <w:rFonts w:eastAsiaTheme="majorEastAsia" w:cstheme="majorBidi"/>
          <w:bCs/>
          <w:sz w:val="24"/>
          <w:szCs w:val="24"/>
        </w:rPr>
        <w:t>i</w:t>
      </w:r>
      <w:r w:rsidR="005A5BE0">
        <w:rPr>
          <w:rFonts w:eastAsiaTheme="majorEastAsia" w:cstheme="majorBidi"/>
          <w:bCs/>
          <w:sz w:val="24"/>
          <w:szCs w:val="24"/>
        </w:rPr>
        <w:t xml:space="preserve"> taj rast</w:t>
      </w:r>
      <w:r w:rsidR="00D9702B">
        <w:rPr>
          <w:rFonts w:eastAsiaTheme="majorEastAsia" w:cstheme="majorBidi"/>
          <w:bCs/>
          <w:sz w:val="24"/>
          <w:szCs w:val="24"/>
        </w:rPr>
        <w:t>. Rast uz indeks od 242,9 primjetan je kod kapitalne pomoći za nabavku knjiga od Ministarstva kulture, s obvezom namjenskog utroška sredstava.</w:t>
      </w:r>
    </w:p>
    <w:p w:rsidR="00453FDF" w:rsidRPr="00780301" w:rsidRDefault="00384040" w:rsidP="00453FDF">
      <w:pPr>
        <w:spacing w:after="120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 xml:space="preserve">Šifra </w:t>
      </w:r>
      <w:r w:rsidR="00453FDF" w:rsidRPr="00780301">
        <w:rPr>
          <w:rFonts w:eastAsiaTheme="majorEastAsia" w:cstheme="majorBidi"/>
          <w:b/>
          <w:bCs/>
          <w:sz w:val="24"/>
          <w:szCs w:val="24"/>
        </w:rPr>
        <w:t xml:space="preserve"> 7</w:t>
      </w:r>
      <w:r w:rsidR="00453FDF" w:rsidRPr="00780301">
        <w:rPr>
          <w:rFonts w:eastAsiaTheme="majorEastAsia" w:cstheme="majorBidi"/>
          <w:bCs/>
          <w:sz w:val="24"/>
          <w:szCs w:val="24"/>
        </w:rPr>
        <w:t xml:space="preserve">- </w:t>
      </w:r>
      <w:r w:rsidR="00453FDF" w:rsidRPr="00780301">
        <w:rPr>
          <w:rFonts w:eastAsiaTheme="majorEastAsia" w:cstheme="majorBidi"/>
          <w:b/>
          <w:bCs/>
          <w:sz w:val="24"/>
          <w:szCs w:val="24"/>
        </w:rPr>
        <w:t>Prihodi od prodaje nefinancijske imovine</w:t>
      </w:r>
    </w:p>
    <w:p w:rsidR="00453FDF" w:rsidRPr="005D624A" w:rsidRDefault="00453FDF" w:rsidP="00453FDF">
      <w:pPr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 xml:space="preserve">Prihodi od prodaje nefinancijske imovine </w:t>
      </w:r>
      <w:r w:rsidR="005A5BE0">
        <w:rPr>
          <w:rFonts w:eastAsiaTheme="majorEastAsia" w:cstheme="majorBidi"/>
          <w:bCs/>
          <w:sz w:val="24"/>
          <w:szCs w:val="24"/>
        </w:rPr>
        <w:t xml:space="preserve">imaju simbolični iznos od </w:t>
      </w:r>
      <w:r w:rsidR="00D9702B">
        <w:rPr>
          <w:rFonts w:eastAsiaTheme="majorEastAsia" w:cstheme="majorBidi"/>
          <w:bCs/>
          <w:sz w:val="24"/>
          <w:szCs w:val="24"/>
        </w:rPr>
        <w:t>31,66</w:t>
      </w:r>
      <w:r w:rsidR="005A5BE0">
        <w:rPr>
          <w:rFonts w:eastAsiaTheme="majorEastAsia" w:cstheme="majorBidi"/>
          <w:bCs/>
          <w:sz w:val="24"/>
          <w:szCs w:val="24"/>
        </w:rPr>
        <w:t xml:space="preserve"> </w:t>
      </w:r>
      <w:r w:rsidR="00F3251F">
        <w:rPr>
          <w:rFonts w:eastAsiaTheme="majorEastAsia" w:cstheme="majorBidi"/>
          <w:bCs/>
          <w:sz w:val="24"/>
          <w:szCs w:val="24"/>
        </w:rPr>
        <w:t>eura</w:t>
      </w:r>
      <w:r w:rsidRPr="005D624A">
        <w:rPr>
          <w:rFonts w:eastAsiaTheme="majorEastAsia" w:cstheme="majorBidi"/>
          <w:bCs/>
          <w:sz w:val="24"/>
          <w:szCs w:val="24"/>
        </w:rPr>
        <w:t>.</w:t>
      </w:r>
    </w:p>
    <w:p w:rsidR="00914E48" w:rsidRPr="005D624A" w:rsidRDefault="00914E48" w:rsidP="00ED4EFF">
      <w:pPr>
        <w:pStyle w:val="ListParagraph"/>
        <w:spacing w:after="120"/>
        <w:jc w:val="both"/>
        <w:rPr>
          <w:rFonts w:eastAsiaTheme="majorEastAsia" w:cstheme="majorBidi"/>
          <w:bCs/>
          <w:sz w:val="24"/>
          <w:szCs w:val="24"/>
        </w:rPr>
      </w:pPr>
    </w:p>
    <w:p w:rsidR="002929C7" w:rsidRPr="00FE4821" w:rsidRDefault="00384040" w:rsidP="00FE4821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 xml:space="preserve">Šifra </w:t>
      </w:r>
      <w:r w:rsidR="0001585E" w:rsidRPr="00FE4821">
        <w:rPr>
          <w:rFonts w:eastAsiaTheme="majorEastAsia" w:cstheme="majorBidi"/>
          <w:b/>
          <w:bCs/>
          <w:sz w:val="24"/>
          <w:szCs w:val="24"/>
        </w:rPr>
        <w:t>3</w:t>
      </w:r>
      <w:r w:rsidR="002929C7" w:rsidRPr="00FE4821">
        <w:rPr>
          <w:rFonts w:eastAsiaTheme="majorEastAsia" w:cstheme="majorBidi"/>
          <w:bCs/>
          <w:sz w:val="24"/>
          <w:szCs w:val="24"/>
        </w:rPr>
        <w:t xml:space="preserve">- </w:t>
      </w:r>
      <w:r w:rsidR="002929C7" w:rsidRPr="00FE4821">
        <w:rPr>
          <w:rFonts w:eastAsiaTheme="majorEastAsia" w:cstheme="majorBidi"/>
          <w:b/>
          <w:bCs/>
          <w:sz w:val="24"/>
          <w:szCs w:val="24"/>
        </w:rPr>
        <w:t>Rashodi poslovanja</w:t>
      </w:r>
    </w:p>
    <w:p w:rsidR="000C3BDD" w:rsidRPr="005D624A" w:rsidRDefault="00914E48" w:rsidP="00ED4EFF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 xml:space="preserve">Ukupni rashodi poslovanja </w:t>
      </w:r>
      <w:r w:rsidR="00384040">
        <w:rPr>
          <w:rFonts w:eastAsiaTheme="majorEastAsia" w:cstheme="majorBidi"/>
          <w:bCs/>
          <w:sz w:val="24"/>
          <w:szCs w:val="24"/>
        </w:rPr>
        <w:t>imaju indeks povećanja od 1</w:t>
      </w:r>
      <w:r w:rsidR="00F3251F">
        <w:rPr>
          <w:rFonts w:eastAsiaTheme="majorEastAsia" w:cstheme="majorBidi"/>
          <w:bCs/>
          <w:sz w:val="24"/>
          <w:szCs w:val="24"/>
        </w:rPr>
        <w:t>1</w:t>
      </w:r>
      <w:r w:rsidR="00D9702B">
        <w:rPr>
          <w:rFonts w:eastAsiaTheme="majorEastAsia" w:cstheme="majorBidi"/>
          <w:bCs/>
          <w:sz w:val="24"/>
          <w:szCs w:val="24"/>
        </w:rPr>
        <w:t>8</w:t>
      </w:r>
      <w:r w:rsidR="00384040">
        <w:rPr>
          <w:rFonts w:eastAsiaTheme="majorEastAsia" w:cstheme="majorBidi"/>
          <w:bCs/>
          <w:sz w:val="24"/>
          <w:szCs w:val="24"/>
        </w:rPr>
        <w:t>,</w:t>
      </w:r>
      <w:r w:rsidR="00D9702B">
        <w:rPr>
          <w:rFonts w:eastAsiaTheme="majorEastAsia" w:cstheme="majorBidi"/>
          <w:bCs/>
          <w:sz w:val="24"/>
          <w:szCs w:val="24"/>
        </w:rPr>
        <w:t>1</w:t>
      </w:r>
      <w:r w:rsidRPr="005D624A">
        <w:rPr>
          <w:rFonts w:eastAsiaTheme="majorEastAsia" w:cstheme="majorBidi"/>
          <w:bCs/>
          <w:sz w:val="24"/>
          <w:szCs w:val="24"/>
        </w:rPr>
        <w:t xml:space="preserve"> </w:t>
      </w:r>
      <w:r w:rsidR="00F3251F">
        <w:rPr>
          <w:rFonts w:eastAsiaTheme="majorEastAsia" w:cstheme="majorBidi"/>
          <w:bCs/>
          <w:sz w:val="24"/>
          <w:szCs w:val="24"/>
        </w:rPr>
        <w:t xml:space="preserve">u </w:t>
      </w:r>
      <w:r w:rsidRPr="005D624A">
        <w:rPr>
          <w:rFonts w:eastAsiaTheme="majorEastAsia" w:cstheme="majorBidi"/>
          <w:bCs/>
          <w:sz w:val="24"/>
          <w:szCs w:val="24"/>
        </w:rPr>
        <w:t>odnosu na proteklu godinu</w:t>
      </w:r>
      <w:r w:rsidR="00384040">
        <w:rPr>
          <w:rFonts w:eastAsiaTheme="majorEastAsia" w:cstheme="majorBidi"/>
          <w:bCs/>
          <w:sz w:val="24"/>
          <w:szCs w:val="24"/>
        </w:rPr>
        <w:t xml:space="preserve"> </w:t>
      </w:r>
      <w:r w:rsidR="00F3251F">
        <w:rPr>
          <w:rFonts w:eastAsiaTheme="majorEastAsia" w:cstheme="majorBidi"/>
          <w:bCs/>
          <w:sz w:val="24"/>
          <w:szCs w:val="24"/>
        </w:rPr>
        <w:t xml:space="preserve">i </w:t>
      </w:r>
      <w:r w:rsidR="00D9702B">
        <w:rPr>
          <w:rFonts w:eastAsiaTheme="majorEastAsia" w:cstheme="majorBidi"/>
          <w:bCs/>
          <w:sz w:val="24"/>
          <w:szCs w:val="24"/>
        </w:rPr>
        <w:t xml:space="preserve">niži je od indeksa </w:t>
      </w:r>
      <w:r w:rsidR="00F3251F">
        <w:rPr>
          <w:rFonts w:eastAsiaTheme="majorEastAsia" w:cstheme="majorBidi"/>
          <w:bCs/>
          <w:sz w:val="24"/>
          <w:szCs w:val="24"/>
        </w:rPr>
        <w:t>povećanj</w:t>
      </w:r>
      <w:r w:rsidR="00D9702B">
        <w:rPr>
          <w:rFonts w:eastAsiaTheme="majorEastAsia" w:cstheme="majorBidi"/>
          <w:bCs/>
          <w:sz w:val="24"/>
          <w:szCs w:val="24"/>
        </w:rPr>
        <w:t>a</w:t>
      </w:r>
      <w:r w:rsidR="00F3251F">
        <w:rPr>
          <w:rFonts w:eastAsiaTheme="majorEastAsia" w:cstheme="majorBidi"/>
          <w:bCs/>
          <w:sz w:val="24"/>
          <w:szCs w:val="24"/>
        </w:rPr>
        <w:t xml:space="preserve"> prihoda. Rashodi za zaposlene imaju indeks 1</w:t>
      </w:r>
      <w:r w:rsidR="00D9702B">
        <w:rPr>
          <w:rFonts w:eastAsiaTheme="majorEastAsia" w:cstheme="majorBidi"/>
          <w:bCs/>
          <w:sz w:val="24"/>
          <w:szCs w:val="24"/>
        </w:rPr>
        <w:t>08</w:t>
      </w:r>
      <w:r w:rsidR="00F3251F">
        <w:rPr>
          <w:rFonts w:eastAsiaTheme="majorEastAsia" w:cstheme="majorBidi"/>
          <w:bCs/>
          <w:sz w:val="24"/>
          <w:szCs w:val="24"/>
        </w:rPr>
        <w:t>,</w:t>
      </w:r>
      <w:r w:rsidR="00D9702B">
        <w:rPr>
          <w:rFonts w:eastAsiaTheme="majorEastAsia" w:cstheme="majorBidi"/>
          <w:bCs/>
          <w:sz w:val="24"/>
          <w:szCs w:val="24"/>
        </w:rPr>
        <w:t>7, a veći indeks od toga je kod ostalih rashoda za zaposlene uz indeks od 149,4</w:t>
      </w:r>
      <w:r w:rsidR="00F3251F">
        <w:rPr>
          <w:rFonts w:eastAsiaTheme="majorEastAsia" w:cstheme="majorBidi"/>
          <w:bCs/>
          <w:sz w:val="24"/>
          <w:szCs w:val="24"/>
        </w:rPr>
        <w:t>. Materijalni rashodi unatoč</w:t>
      </w:r>
      <w:r w:rsidR="00384040">
        <w:rPr>
          <w:rFonts w:eastAsiaTheme="majorEastAsia" w:cstheme="majorBidi"/>
          <w:bCs/>
          <w:sz w:val="24"/>
          <w:szCs w:val="24"/>
        </w:rPr>
        <w:t xml:space="preserve"> povećanja cijena </w:t>
      </w:r>
      <w:r w:rsidR="00F3251F">
        <w:rPr>
          <w:rFonts w:eastAsiaTheme="majorEastAsia" w:cstheme="majorBidi"/>
          <w:bCs/>
          <w:sz w:val="24"/>
          <w:szCs w:val="24"/>
        </w:rPr>
        <w:t>z</w:t>
      </w:r>
      <w:r w:rsidR="00384040">
        <w:rPr>
          <w:rFonts w:eastAsiaTheme="majorEastAsia" w:cstheme="majorBidi"/>
          <w:bCs/>
          <w:sz w:val="24"/>
          <w:szCs w:val="24"/>
        </w:rPr>
        <w:t>a materijal, energiju</w:t>
      </w:r>
      <w:r w:rsidR="00F3251F">
        <w:rPr>
          <w:rFonts w:eastAsiaTheme="majorEastAsia" w:cstheme="majorBidi"/>
          <w:bCs/>
          <w:sz w:val="24"/>
          <w:szCs w:val="24"/>
        </w:rPr>
        <w:t xml:space="preserve"> i </w:t>
      </w:r>
      <w:r w:rsidR="00384040">
        <w:rPr>
          <w:rFonts w:eastAsiaTheme="majorEastAsia" w:cstheme="majorBidi"/>
          <w:bCs/>
          <w:sz w:val="24"/>
          <w:szCs w:val="24"/>
        </w:rPr>
        <w:t>usluge</w:t>
      </w:r>
      <w:r w:rsidR="00F3251F">
        <w:rPr>
          <w:rFonts w:eastAsiaTheme="majorEastAsia" w:cstheme="majorBidi"/>
          <w:bCs/>
          <w:sz w:val="24"/>
          <w:szCs w:val="24"/>
        </w:rPr>
        <w:t xml:space="preserve"> zadržani su na indeks povećanja od 1</w:t>
      </w:r>
      <w:r w:rsidR="00D9702B">
        <w:rPr>
          <w:rFonts w:eastAsiaTheme="majorEastAsia" w:cstheme="majorBidi"/>
          <w:bCs/>
          <w:sz w:val="24"/>
          <w:szCs w:val="24"/>
        </w:rPr>
        <w:t>37</w:t>
      </w:r>
      <w:r w:rsidR="00F3251F">
        <w:rPr>
          <w:rFonts w:eastAsiaTheme="majorEastAsia" w:cstheme="majorBidi"/>
          <w:bCs/>
          <w:sz w:val="24"/>
          <w:szCs w:val="24"/>
        </w:rPr>
        <w:t>,</w:t>
      </w:r>
      <w:r w:rsidR="00D9702B">
        <w:rPr>
          <w:rFonts w:eastAsiaTheme="majorEastAsia" w:cstheme="majorBidi"/>
          <w:bCs/>
          <w:sz w:val="24"/>
          <w:szCs w:val="24"/>
        </w:rPr>
        <w:t>6</w:t>
      </w:r>
      <w:r w:rsidR="00384040">
        <w:rPr>
          <w:rFonts w:eastAsiaTheme="majorEastAsia" w:cstheme="majorBidi"/>
          <w:bCs/>
          <w:sz w:val="24"/>
          <w:szCs w:val="24"/>
        </w:rPr>
        <w:t xml:space="preserve">. Zbog </w:t>
      </w:r>
      <w:r w:rsidR="007F572D">
        <w:rPr>
          <w:rFonts w:eastAsiaTheme="majorEastAsia" w:cstheme="majorBidi"/>
          <w:bCs/>
          <w:sz w:val="24"/>
          <w:szCs w:val="24"/>
        </w:rPr>
        <w:t xml:space="preserve">povećanih aktivnosti </w:t>
      </w:r>
      <w:r w:rsidR="00CB5025">
        <w:rPr>
          <w:rFonts w:eastAsiaTheme="majorEastAsia" w:cstheme="majorBidi"/>
          <w:bCs/>
          <w:sz w:val="24"/>
          <w:szCs w:val="24"/>
        </w:rPr>
        <w:t xml:space="preserve">kod </w:t>
      </w:r>
      <w:r w:rsidR="00384040">
        <w:rPr>
          <w:rFonts w:eastAsiaTheme="majorEastAsia" w:cstheme="majorBidi"/>
          <w:bCs/>
          <w:sz w:val="24"/>
          <w:szCs w:val="24"/>
        </w:rPr>
        <w:t>manifestacija i gostovanja narasli su i</w:t>
      </w:r>
      <w:r w:rsidR="00E71D16">
        <w:rPr>
          <w:rFonts w:eastAsiaTheme="majorEastAsia" w:cstheme="majorBidi"/>
          <w:bCs/>
          <w:sz w:val="24"/>
          <w:szCs w:val="24"/>
        </w:rPr>
        <w:t xml:space="preserve"> </w:t>
      </w:r>
      <w:r w:rsidR="00384040">
        <w:rPr>
          <w:rFonts w:eastAsiaTheme="majorEastAsia" w:cstheme="majorBidi"/>
          <w:bCs/>
          <w:sz w:val="24"/>
          <w:szCs w:val="24"/>
        </w:rPr>
        <w:t>troškovi ostalih usluga</w:t>
      </w:r>
      <w:r w:rsidR="00F3251F">
        <w:rPr>
          <w:rFonts w:eastAsiaTheme="majorEastAsia" w:cstheme="majorBidi"/>
          <w:bCs/>
          <w:sz w:val="24"/>
          <w:szCs w:val="24"/>
        </w:rPr>
        <w:t xml:space="preserve"> i naknada za vanjske suradnike</w:t>
      </w:r>
      <w:r w:rsidR="00CB5025">
        <w:rPr>
          <w:rFonts w:eastAsiaTheme="majorEastAsia" w:cstheme="majorBidi"/>
          <w:bCs/>
          <w:sz w:val="24"/>
          <w:szCs w:val="24"/>
        </w:rPr>
        <w:t xml:space="preserve"> i tu je indeks povećanja 178,9</w:t>
      </w:r>
      <w:r w:rsidR="00384040">
        <w:rPr>
          <w:rFonts w:eastAsiaTheme="majorEastAsia" w:cstheme="majorBidi"/>
          <w:bCs/>
          <w:sz w:val="24"/>
          <w:szCs w:val="24"/>
        </w:rPr>
        <w:t>.</w:t>
      </w:r>
    </w:p>
    <w:p w:rsidR="002929C7" w:rsidRPr="00780301" w:rsidRDefault="00384040" w:rsidP="00780301">
      <w:pPr>
        <w:jc w:val="both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 xml:space="preserve">Šifra </w:t>
      </w:r>
      <w:r w:rsidR="0001585E" w:rsidRPr="00780301">
        <w:rPr>
          <w:rFonts w:eastAsiaTheme="majorEastAsia" w:cstheme="majorBidi"/>
          <w:b/>
          <w:bCs/>
          <w:sz w:val="24"/>
          <w:szCs w:val="24"/>
        </w:rPr>
        <w:t>4</w:t>
      </w:r>
      <w:r w:rsidR="002929C7" w:rsidRPr="00780301">
        <w:rPr>
          <w:rFonts w:eastAsiaTheme="majorEastAsia" w:cstheme="majorBidi"/>
          <w:bCs/>
          <w:sz w:val="24"/>
          <w:szCs w:val="24"/>
        </w:rPr>
        <w:t xml:space="preserve">- </w:t>
      </w:r>
      <w:r w:rsidR="002929C7" w:rsidRPr="00780301">
        <w:rPr>
          <w:rFonts w:eastAsiaTheme="majorEastAsia" w:cstheme="majorBidi"/>
          <w:b/>
          <w:bCs/>
          <w:sz w:val="24"/>
          <w:szCs w:val="24"/>
        </w:rPr>
        <w:t>Rashodi za nabavu nefinancijske imovine</w:t>
      </w:r>
    </w:p>
    <w:p w:rsidR="00E01555" w:rsidRDefault="001A3FF9" w:rsidP="00B25ABF">
      <w:pPr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 xml:space="preserve">Rashodi za nabavu </w:t>
      </w:r>
      <w:r w:rsidR="006A0695" w:rsidRPr="005D624A">
        <w:rPr>
          <w:rFonts w:eastAsiaTheme="majorEastAsia" w:cstheme="majorBidi"/>
          <w:bCs/>
          <w:sz w:val="24"/>
          <w:szCs w:val="24"/>
        </w:rPr>
        <w:t>nefinancijske</w:t>
      </w:r>
      <w:r w:rsidR="00780301">
        <w:rPr>
          <w:rFonts w:eastAsiaTheme="majorEastAsia" w:cstheme="majorBidi"/>
          <w:bCs/>
          <w:sz w:val="24"/>
          <w:szCs w:val="24"/>
        </w:rPr>
        <w:t xml:space="preserve"> imovine </w:t>
      </w:r>
      <w:r w:rsidR="00384040">
        <w:rPr>
          <w:rFonts w:eastAsiaTheme="majorEastAsia" w:cstheme="majorBidi"/>
          <w:bCs/>
          <w:sz w:val="24"/>
          <w:szCs w:val="24"/>
        </w:rPr>
        <w:t xml:space="preserve">imaju </w:t>
      </w:r>
      <w:r w:rsidRPr="005D624A">
        <w:rPr>
          <w:rFonts w:eastAsiaTheme="majorEastAsia" w:cstheme="majorBidi"/>
          <w:bCs/>
          <w:sz w:val="24"/>
          <w:szCs w:val="24"/>
        </w:rPr>
        <w:t xml:space="preserve">indeks </w:t>
      </w:r>
      <w:r w:rsidR="00F3251F">
        <w:rPr>
          <w:rFonts w:eastAsiaTheme="majorEastAsia" w:cstheme="majorBidi"/>
          <w:bCs/>
          <w:sz w:val="24"/>
          <w:szCs w:val="24"/>
        </w:rPr>
        <w:t>povećanja od</w:t>
      </w:r>
      <w:r w:rsidR="00433E14" w:rsidRPr="005D624A">
        <w:rPr>
          <w:rFonts w:eastAsiaTheme="majorEastAsia" w:cstheme="majorBidi"/>
          <w:bCs/>
          <w:sz w:val="24"/>
          <w:szCs w:val="24"/>
        </w:rPr>
        <w:t xml:space="preserve"> </w:t>
      </w:r>
      <w:r w:rsidR="00F3251F">
        <w:rPr>
          <w:rFonts w:eastAsiaTheme="majorEastAsia" w:cstheme="majorBidi"/>
          <w:bCs/>
          <w:sz w:val="24"/>
          <w:szCs w:val="24"/>
        </w:rPr>
        <w:t>1</w:t>
      </w:r>
      <w:r w:rsidR="00CB5025">
        <w:rPr>
          <w:rFonts w:eastAsiaTheme="majorEastAsia" w:cstheme="majorBidi"/>
          <w:bCs/>
          <w:sz w:val="24"/>
          <w:szCs w:val="24"/>
        </w:rPr>
        <w:t>22</w:t>
      </w:r>
      <w:r w:rsidR="00F3251F">
        <w:rPr>
          <w:rFonts w:eastAsiaTheme="majorEastAsia" w:cstheme="majorBidi"/>
          <w:bCs/>
          <w:sz w:val="24"/>
          <w:szCs w:val="24"/>
        </w:rPr>
        <w:t>,</w:t>
      </w:r>
      <w:r w:rsidR="00CB5025">
        <w:rPr>
          <w:rFonts w:eastAsiaTheme="majorEastAsia" w:cstheme="majorBidi"/>
          <w:bCs/>
          <w:sz w:val="24"/>
          <w:szCs w:val="24"/>
        </w:rPr>
        <w:t>9</w:t>
      </w:r>
      <w:r w:rsidRPr="005D624A">
        <w:rPr>
          <w:rFonts w:eastAsiaTheme="majorEastAsia" w:cstheme="majorBidi"/>
          <w:bCs/>
          <w:sz w:val="24"/>
          <w:szCs w:val="24"/>
        </w:rPr>
        <w:t xml:space="preserve"> u odnosu na prethodnu godinu i najvećim se dijelom odnose na n</w:t>
      </w:r>
      <w:r w:rsidR="00927BFB">
        <w:rPr>
          <w:rFonts w:eastAsiaTheme="majorEastAsia" w:cstheme="majorBidi"/>
          <w:bCs/>
          <w:sz w:val="24"/>
          <w:szCs w:val="24"/>
        </w:rPr>
        <w:t>abavu knjižne i neknjižne građe</w:t>
      </w:r>
      <w:r w:rsidR="00CB5025">
        <w:rPr>
          <w:rFonts w:eastAsiaTheme="majorEastAsia" w:cstheme="majorBidi"/>
          <w:bCs/>
          <w:sz w:val="24"/>
          <w:szCs w:val="24"/>
        </w:rPr>
        <w:t>, dobrim dijelom namjenski financiran od Ministarstva kulture</w:t>
      </w:r>
      <w:r w:rsidR="00927BFB">
        <w:rPr>
          <w:rFonts w:eastAsiaTheme="majorEastAsia" w:cstheme="majorBidi"/>
          <w:bCs/>
          <w:sz w:val="24"/>
          <w:szCs w:val="24"/>
        </w:rPr>
        <w:t>.</w:t>
      </w:r>
    </w:p>
    <w:p w:rsidR="00384040" w:rsidRPr="00965C5B" w:rsidRDefault="00384040" w:rsidP="00384040">
      <w:pPr>
        <w:rPr>
          <w:rFonts w:eastAsiaTheme="majorEastAsia" w:cstheme="majorBidi"/>
          <w:b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>Šifre  X005 i X006</w:t>
      </w:r>
      <w:r w:rsidRPr="00965C5B">
        <w:rPr>
          <w:rFonts w:eastAsiaTheme="majorEastAsia" w:cstheme="majorBidi"/>
          <w:b/>
          <w:bCs/>
          <w:sz w:val="24"/>
          <w:szCs w:val="24"/>
        </w:rPr>
        <w:t xml:space="preserve"> - Rezultat poslovanja</w:t>
      </w:r>
    </w:p>
    <w:p w:rsidR="00384040" w:rsidRPr="00965C5B" w:rsidRDefault="00384040" w:rsidP="00384040">
      <w:pPr>
        <w:rPr>
          <w:rFonts w:eastAsiaTheme="majorEastAsia" w:cstheme="majorBidi"/>
          <w:bCs/>
          <w:sz w:val="24"/>
          <w:szCs w:val="24"/>
        </w:rPr>
      </w:pPr>
      <w:r w:rsidRPr="00965C5B">
        <w:rPr>
          <w:rFonts w:eastAsiaTheme="majorEastAsia" w:cstheme="majorBidi"/>
          <w:bCs/>
          <w:sz w:val="24"/>
          <w:szCs w:val="24"/>
        </w:rPr>
        <w:t>U 202</w:t>
      </w:r>
      <w:r w:rsidR="00CB5025">
        <w:rPr>
          <w:rFonts w:eastAsiaTheme="majorEastAsia" w:cstheme="majorBidi"/>
          <w:bCs/>
          <w:sz w:val="24"/>
          <w:szCs w:val="24"/>
        </w:rPr>
        <w:t>4</w:t>
      </w:r>
      <w:r w:rsidRPr="00965C5B">
        <w:rPr>
          <w:rFonts w:eastAsiaTheme="majorEastAsia" w:cstheme="majorBidi"/>
          <w:bCs/>
          <w:sz w:val="24"/>
          <w:szCs w:val="24"/>
        </w:rPr>
        <w:t xml:space="preserve">. godini ostvaren je </w:t>
      </w:r>
      <w:r>
        <w:rPr>
          <w:rFonts w:eastAsiaTheme="majorEastAsia" w:cstheme="majorBidi"/>
          <w:bCs/>
          <w:sz w:val="24"/>
          <w:szCs w:val="24"/>
        </w:rPr>
        <w:t>višak</w:t>
      </w:r>
      <w:r w:rsidRPr="00965C5B">
        <w:rPr>
          <w:rFonts w:eastAsiaTheme="majorEastAsia" w:cstheme="majorBidi"/>
          <w:bCs/>
          <w:sz w:val="24"/>
          <w:szCs w:val="24"/>
        </w:rPr>
        <w:t xml:space="preserve"> prihoda u iznosu od </w:t>
      </w:r>
      <w:r w:rsidR="00CB5025">
        <w:rPr>
          <w:rFonts w:eastAsiaTheme="majorEastAsia" w:cstheme="majorBidi"/>
          <w:bCs/>
          <w:sz w:val="24"/>
          <w:szCs w:val="24"/>
        </w:rPr>
        <w:t>16.891</w:t>
      </w:r>
      <w:r w:rsidR="00BE24A2">
        <w:rPr>
          <w:rFonts w:eastAsiaTheme="majorEastAsia" w:cstheme="majorBidi"/>
          <w:bCs/>
          <w:sz w:val="24"/>
          <w:szCs w:val="24"/>
        </w:rPr>
        <w:t>,</w:t>
      </w:r>
      <w:r w:rsidR="00CB5025">
        <w:rPr>
          <w:rFonts w:eastAsiaTheme="majorEastAsia" w:cstheme="majorBidi"/>
          <w:bCs/>
          <w:sz w:val="24"/>
          <w:szCs w:val="24"/>
        </w:rPr>
        <w:t>13</w:t>
      </w:r>
      <w:r w:rsidRPr="00965C5B">
        <w:rPr>
          <w:rFonts w:eastAsiaTheme="majorEastAsia" w:cstheme="majorBidi"/>
          <w:bCs/>
          <w:sz w:val="24"/>
          <w:szCs w:val="24"/>
        </w:rPr>
        <w:t xml:space="preserve"> </w:t>
      </w:r>
      <w:r w:rsidR="00F3251F">
        <w:rPr>
          <w:rFonts w:eastAsiaTheme="majorEastAsia" w:cstheme="majorBidi"/>
          <w:bCs/>
          <w:sz w:val="24"/>
          <w:szCs w:val="24"/>
        </w:rPr>
        <w:t>eura,</w:t>
      </w:r>
      <w:r>
        <w:rPr>
          <w:rFonts w:eastAsiaTheme="majorEastAsia" w:cstheme="majorBidi"/>
          <w:bCs/>
          <w:sz w:val="24"/>
          <w:szCs w:val="24"/>
        </w:rPr>
        <w:t xml:space="preserve"> što rezultira zbog prenesenog </w:t>
      </w:r>
      <w:r w:rsidR="00BE24A2">
        <w:rPr>
          <w:rFonts w:eastAsiaTheme="majorEastAsia" w:cstheme="majorBidi"/>
          <w:bCs/>
          <w:sz w:val="24"/>
          <w:szCs w:val="24"/>
        </w:rPr>
        <w:t xml:space="preserve">viška </w:t>
      </w:r>
      <w:r>
        <w:rPr>
          <w:rFonts w:eastAsiaTheme="majorEastAsia" w:cstheme="majorBidi"/>
          <w:bCs/>
          <w:sz w:val="24"/>
          <w:szCs w:val="24"/>
        </w:rPr>
        <w:t xml:space="preserve">iz prethodne godine daljnjim prijenosom raspoloživog viška od </w:t>
      </w:r>
      <w:r w:rsidR="00CB5025">
        <w:rPr>
          <w:rFonts w:eastAsiaTheme="majorEastAsia" w:cstheme="majorBidi"/>
          <w:bCs/>
          <w:sz w:val="24"/>
          <w:szCs w:val="24"/>
        </w:rPr>
        <w:t>26</w:t>
      </w:r>
      <w:r>
        <w:rPr>
          <w:rFonts w:eastAsiaTheme="majorEastAsia" w:cstheme="majorBidi"/>
          <w:bCs/>
          <w:sz w:val="24"/>
          <w:szCs w:val="24"/>
        </w:rPr>
        <w:t>.</w:t>
      </w:r>
      <w:r w:rsidR="00CB5025">
        <w:rPr>
          <w:rFonts w:eastAsiaTheme="majorEastAsia" w:cstheme="majorBidi"/>
          <w:bCs/>
          <w:sz w:val="24"/>
          <w:szCs w:val="24"/>
        </w:rPr>
        <w:t>817</w:t>
      </w:r>
      <w:r>
        <w:rPr>
          <w:rFonts w:eastAsiaTheme="majorEastAsia" w:cstheme="majorBidi"/>
          <w:bCs/>
          <w:sz w:val="24"/>
          <w:szCs w:val="24"/>
        </w:rPr>
        <w:t>,</w:t>
      </w:r>
      <w:r w:rsidR="00CB5025">
        <w:rPr>
          <w:rFonts w:eastAsiaTheme="majorEastAsia" w:cstheme="majorBidi"/>
          <w:bCs/>
          <w:sz w:val="24"/>
          <w:szCs w:val="24"/>
        </w:rPr>
        <w:t>68</w:t>
      </w:r>
      <w:r>
        <w:rPr>
          <w:rFonts w:eastAsiaTheme="majorEastAsia" w:cstheme="majorBidi"/>
          <w:bCs/>
          <w:sz w:val="24"/>
          <w:szCs w:val="24"/>
        </w:rPr>
        <w:t xml:space="preserve"> </w:t>
      </w:r>
      <w:r w:rsidR="00F3251F">
        <w:rPr>
          <w:rFonts w:eastAsiaTheme="majorEastAsia" w:cstheme="majorBidi"/>
          <w:bCs/>
          <w:sz w:val="24"/>
          <w:szCs w:val="24"/>
        </w:rPr>
        <w:t>eura</w:t>
      </w:r>
      <w:r w:rsidR="00BE24A2">
        <w:rPr>
          <w:rFonts w:eastAsiaTheme="majorEastAsia" w:cstheme="majorBidi"/>
          <w:bCs/>
          <w:sz w:val="24"/>
          <w:szCs w:val="24"/>
        </w:rPr>
        <w:t>.</w:t>
      </w:r>
      <w:r w:rsidRPr="00965C5B">
        <w:rPr>
          <w:rFonts w:eastAsiaTheme="majorEastAsia" w:cstheme="majorBidi"/>
          <w:bCs/>
          <w:sz w:val="24"/>
          <w:szCs w:val="24"/>
        </w:rPr>
        <w:t xml:space="preserve"> </w:t>
      </w:r>
    </w:p>
    <w:p w:rsidR="00384040" w:rsidRPr="00581ACA" w:rsidRDefault="00384040" w:rsidP="00384040">
      <w:pPr>
        <w:spacing w:after="120"/>
        <w:jc w:val="both"/>
        <w:rPr>
          <w:rFonts w:eastAsiaTheme="majorEastAsia" w:cstheme="majorBidi"/>
          <w:bCs/>
          <w:color w:val="FF0000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242"/>
        <w:gridCol w:w="8505"/>
      </w:tblGrid>
      <w:tr w:rsidR="00384040" w:rsidRPr="00581ACA" w:rsidTr="004B6502">
        <w:trPr>
          <w:trHeight w:val="813"/>
        </w:trPr>
        <w:tc>
          <w:tcPr>
            <w:tcW w:w="1242" w:type="dxa"/>
          </w:tcPr>
          <w:p w:rsidR="00384040" w:rsidRPr="00965C5B" w:rsidRDefault="00384040" w:rsidP="004B6502">
            <w:pPr>
              <w:spacing w:after="12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Šifra 11K</w:t>
            </w:r>
          </w:p>
          <w:p w:rsidR="00384040" w:rsidRPr="00965C5B" w:rsidRDefault="00384040" w:rsidP="004B6502">
            <w:pPr>
              <w:spacing w:after="12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384040" w:rsidRPr="00965C5B" w:rsidRDefault="00384040" w:rsidP="004B6502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965C5B">
              <w:rPr>
                <w:sz w:val="24"/>
                <w:szCs w:val="24"/>
              </w:rPr>
              <w:t xml:space="preserve">Stanje novčanih sredstava na kraju obračunskog razdoblja pokazuje nulu, jer se transakcije obavljaju preko jedinstvenog računa Riznice Grada Umaga. </w:t>
            </w:r>
          </w:p>
          <w:p w:rsidR="00384040" w:rsidRPr="00965C5B" w:rsidRDefault="00384040" w:rsidP="004B6502">
            <w:pPr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84040" w:rsidRPr="00581ACA" w:rsidTr="004B6502">
        <w:trPr>
          <w:trHeight w:val="813"/>
        </w:trPr>
        <w:tc>
          <w:tcPr>
            <w:tcW w:w="1242" w:type="dxa"/>
          </w:tcPr>
          <w:p w:rsidR="00384040" w:rsidRPr="00965C5B" w:rsidRDefault="00384040" w:rsidP="004B6502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Šifra Z007 i Z009</w:t>
            </w:r>
            <w:r w:rsidRPr="00965C5B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8505" w:type="dxa"/>
          </w:tcPr>
          <w:p w:rsidR="00384040" w:rsidRPr="00965C5B" w:rsidRDefault="00384040" w:rsidP="00E71D16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965C5B">
              <w:rPr>
                <w:sz w:val="24"/>
                <w:szCs w:val="24"/>
              </w:rPr>
              <w:t xml:space="preserve">Prosječan broj zaposlenih iznosi </w:t>
            </w:r>
            <w:r w:rsidR="00CB5025">
              <w:rPr>
                <w:sz w:val="24"/>
                <w:szCs w:val="24"/>
              </w:rPr>
              <w:t>6</w:t>
            </w:r>
            <w:r w:rsidRPr="00965C5B">
              <w:rPr>
                <w:sz w:val="24"/>
                <w:szCs w:val="24"/>
              </w:rPr>
              <w:t xml:space="preserve"> djelatnika</w:t>
            </w:r>
            <w:r w:rsidR="00BE24A2">
              <w:rPr>
                <w:sz w:val="24"/>
                <w:szCs w:val="24"/>
              </w:rPr>
              <w:t xml:space="preserve"> što je </w:t>
            </w:r>
            <w:r w:rsidR="00CB5025">
              <w:rPr>
                <w:sz w:val="24"/>
                <w:szCs w:val="24"/>
              </w:rPr>
              <w:t xml:space="preserve">jedan više od </w:t>
            </w:r>
            <w:r w:rsidR="00F3251F">
              <w:rPr>
                <w:sz w:val="24"/>
                <w:szCs w:val="24"/>
              </w:rPr>
              <w:t>prethodno</w:t>
            </w:r>
            <w:r w:rsidR="00CB5025">
              <w:rPr>
                <w:sz w:val="24"/>
                <w:szCs w:val="24"/>
              </w:rPr>
              <w:t>g</w:t>
            </w:r>
            <w:r w:rsidR="00F3251F">
              <w:rPr>
                <w:sz w:val="24"/>
                <w:szCs w:val="24"/>
              </w:rPr>
              <w:t xml:space="preserve"> razdoblj</w:t>
            </w:r>
            <w:r w:rsidR="00CB5025">
              <w:rPr>
                <w:sz w:val="24"/>
                <w:szCs w:val="24"/>
              </w:rPr>
              <w:t>a</w:t>
            </w:r>
            <w:r w:rsidRPr="00965C5B">
              <w:rPr>
                <w:sz w:val="24"/>
                <w:szCs w:val="24"/>
              </w:rPr>
              <w:t xml:space="preserve">, a prosječan broj zaposlenih prema satima rada iznosi </w:t>
            </w:r>
            <w:r w:rsidR="00E71D16">
              <w:rPr>
                <w:sz w:val="24"/>
                <w:szCs w:val="24"/>
              </w:rPr>
              <w:t>4</w:t>
            </w:r>
            <w:r w:rsidRPr="00965C5B">
              <w:rPr>
                <w:sz w:val="24"/>
                <w:szCs w:val="24"/>
              </w:rPr>
              <w:t xml:space="preserve"> djelatnika</w:t>
            </w:r>
            <w:r w:rsidR="00CB5025">
              <w:rPr>
                <w:sz w:val="24"/>
                <w:szCs w:val="24"/>
              </w:rPr>
              <w:t xml:space="preserve"> kao u prethodnom razdoblju</w:t>
            </w:r>
            <w:r w:rsidR="00BE24A2">
              <w:rPr>
                <w:sz w:val="24"/>
                <w:szCs w:val="24"/>
              </w:rPr>
              <w:t>.</w:t>
            </w:r>
            <w:r w:rsidRPr="00965C5B">
              <w:rPr>
                <w:sz w:val="24"/>
                <w:szCs w:val="24"/>
              </w:rPr>
              <w:t xml:space="preserve"> </w:t>
            </w:r>
          </w:p>
        </w:tc>
      </w:tr>
    </w:tbl>
    <w:p w:rsidR="001C3728" w:rsidRDefault="001C3728" w:rsidP="00384040">
      <w:pPr>
        <w:spacing w:after="0" w:line="360" w:lineRule="auto"/>
        <w:ind w:left="709" w:hanging="709"/>
        <w:jc w:val="both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</w:p>
    <w:p w:rsidR="00384040" w:rsidRPr="00FB6059" w:rsidRDefault="00384040" w:rsidP="00384040">
      <w:pPr>
        <w:spacing w:after="0" w:line="360" w:lineRule="auto"/>
        <w:ind w:left="709" w:hanging="709"/>
        <w:jc w:val="both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 w:rsidRPr="00FB6059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Bilješke uz izvještaj o obvezama – obrazac OBVEZE</w:t>
      </w:r>
    </w:p>
    <w:p w:rsidR="00384040" w:rsidRDefault="00384040" w:rsidP="00384040">
      <w:pPr>
        <w:spacing w:after="0"/>
        <w:jc w:val="both"/>
        <w:rPr>
          <w:rFonts w:eastAsiaTheme="majorEastAsia" w:cstheme="majorBidi"/>
          <w:b/>
          <w:bCs/>
          <w:sz w:val="24"/>
          <w:szCs w:val="24"/>
        </w:rPr>
      </w:pPr>
    </w:p>
    <w:p w:rsidR="00384040" w:rsidRPr="00FB6059" w:rsidRDefault="00384040" w:rsidP="00384040">
      <w:pPr>
        <w:jc w:val="both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>Šifra V</w:t>
      </w:r>
      <w:r w:rsidRPr="00FB6059">
        <w:rPr>
          <w:rFonts w:eastAsiaTheme="majorEastAsia" w:cstheme="majorBidi"/>
          <w:b/>
          <w:bCs/>
          <w:sz w:val="24"/>
          <w:szCs w:val="24"/>
        </w:rPr>
        <w:t>001 - Stanje obveza 1.siječnja 20</w:t>
      </w:r>
      <w:r>
        <w:rPr>
          <w:rFonts w:eastAsiaTheme="majorEastAsia" w:cstheme="majorBidi"/>
          <w:b/>
          <w:bCs/>
          <w:sz w:val="24"/>
          <w:szCs w:val="24"/>
        </w:rPr>
        <w:t>2</w:t>
      </w:r>
      <w:r w:rsidR="00CB5025">
        <w:rPr>
          <w:rFonts w:eastAsiaTheme="majorEastAsia" w:cstheme="majorBidi"/>
          <w:b/>
          <w:bCs/>
          <w:sz w:val="24"/>
          <w:szCs w:val="24"/>
        </w:rPr>
        <w:t>4</w:t>
      </w:r>
      <w:r w:rsidRPr="00FB6059">
        <w:rPr>
          <w:rFonts w:eastAsiaTheme="majorEastAsia" w:cstheme="majorBidi"/>
          <w:bCs/>
          <w:sz w:val="24"/>
          <w:szCs w:val="24"/>
        </w:rPr>
        <w:t>. iznosilo je</w:t>
      </w:r>
      <w:r>
        <w:rPr>
          <w:rFonts w:eastAsiaTheme="majorEastAsia" w:cstheme="majorBidi"/>
          <w:bCs/>
          <w:sz w:val="24"/>
          <w:szCs w:val="24"/>
        </w:rPr>
        <w:t xml:space="preserve"> </w:t>
      </w:r>
      <w:r w:rsidR="00B33882">
        <w:rPr>
          <w:rFonts w:eastAsiaTheme="majorEastAsia" w:cstheme="majorBidi"/>
          <w:bCs/>
          <w:sz w:val="24"/>
          <w:szCs w:val="24"/>
        </w:rPr>
        <w:t>9</w:t>
      </w:r>
      <w:r>
        <w:rPr>
          <w:rFonts w:eastAsiaTheme="majorEastAsia" w:cstheme="majorBidi"/>
          <w:bCs/>
          <w:sz w:val="24"/>
          <w:szCs w:val="24"/>
        </w:rPr>
        <w:t>.</w:t>
      </w:r>
      <w:r w:rsidR="00CB5025">
        <w:rPr>
          <w:rFonts w:eastAsiaTheme="majorEastAsia" w:cstheme="majorBidi"/>
          <w:bCs/>
          <w:sz w:val="24"/>
          <w:szCs w:val="24"/>
        </w:rPr>
        <w:t>432</w:t>
      </w:r>
      <w:r>
        <w:rPr>
          <w:rFonts w:eastAsiaTheme="majorEastAsia" w:cstheme="majorBidi"/>
          <w:bCs/>
          <w:sz w:val="24"/>
          <w:szCs w:val="24"/>
        </w:rPr>
        <w:t>,</w:t>
      </w:r>
      <w:r w:rsidR="00CB5025">
        <w:rPr>
          <w:rFonts w:eastAsiaTheme="majorEastAsia" w:cstheme="majorBidi"/>
          <w:bCs/>
          <w:sz w:val="24"/>
          <w:szCs w:val="24"/>
        </w:rPr>
        <w:t>96</w:t>
      </w:r>
      <w:r w:rsidRPr="00FB6059">
        <w:rPr>
          <w:rFonts w:eastAsiaTheme="majorEastAsia" w:cstheme="majorBidi"/>
          <w:bCs/>
          <w:sz w:val="24"/>
          <w:szCs w:val="24"/>
        </w:rPr>
        <w:t xml:space="preserve"> </w:t>
      </w:r>
      <w:r w:rsidR="00CB5025">
        <w:rPr>
          <w:rFonts w:eastAsiaTheme="majorEastAsia" w:cstheme="majorBidi"/>
          <w:bCs/>
          <w:sz w:val="24"/>
          <w:szCs w:val="24"/>
        </w:rPr>
        <w:t>eura</w:t>
      </w:r>
      <w:r w:rsidRPr="00FB6059">
        <w:rPr>
          <w:rFonts w:eastAsiaTheme="majorEastAsia" w:cstheme="majorBidi"/>
          <w:bCs/>
          <w:sz w:val="24"/>
          <w:szCs w:val="24"/>
        </w:rPr>
        <w:t xml:space="preserve"> te su sve podmirene tijekom 20</w:t>
      </w:r>
      <w:r>
        <w:rPr>
          <w:rFonts w:eastAsiaTheme="majorEastAsia" w:cstheme="majorBidi"/>
          <w:bCs/>
          <w:sz w:val="24"/>
          <w:szCs w:val="24"/>
        </w:rPr>
        <w:t>2</w:t>
      </w:r>
      <w:r w:rsidR="00CB5025">
        <w:rPr>
          <w:rFonts w:eastAsiaTheme="majorEastAsia" w:cstheme="majorBidi"/>
          <w:bCs/>
          <w:sz w:val="24"/>
          <w:szCs w:val="24"/>
        </w:rPr>
        <w:t>4</w:t>
      </w:r>
      <w:r w:rsidRPr="00FB6059">
        <w:rPr>
          <w:rFonts w:eastAsiaTheme="majorEastAsia" w:cstheme="majorBidi"/>
          <w:bCs/>
          <w:sz w:val="24"/>
          <w:szCs w:val="24"/>
        </w:rPr>
        <w:t>. godine prema rokovima dospijeća.</w:t>
      </w:r>
    </w:p>
    <w:p w:rsidR="00384040" w:rsidRDefault="00BE24A2" w:rsidP="00384040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>V 009</w:t>
      </w:r>
      <w:r w:rsidR="00384040" w:rsidRPr="00FB6059">
        <w:rPr>
          <w:rFonts w:eastAsiaTheme="majorEastAsia" w:cstheme="majorBidi"/>
          <w:b/>
          <w:bCs/>
          <w:sz w:val="24"/>
          <w:szCs w:val="24"/>
        </w:rPr>
        <w:t xml:space="preserve"> - Stanje obveza na kraju izvještajnog razdoblja</w:t>
      </w:r>
      <w:r w:rsidR="00384040" w:rsidRPr="00FB6059">
        <w:rPr>
          <w:rFonts w:eastAsiaTheme="majorEastAsia" w:cstheme="majorBidi"/>
          <w:bCs/>
          <w:sz w:val="24"/>
          <w:szCs w:val="24"/>
        </w:rPr>
        <w:t xml:space="preserve"> iznosi </w:t>
      </w:r>
      <w:r>
        <w:rPr>
          <w:rFonts w:eastAsiaTheme="majorEastAsia" w:cstheme="majorBidi"/>
          <w:bCs/>
          <w:sz w:val="24"/>
          <w:szCs w:val="24"/>
        </w:rPr>
        <w:t>0,00</w:t>
      </w:r>
      <w:r w:rsidR="00384040">
        <w:rPr>
          <w:rFonts w:eastAsiaTheme="majorEastAsia" w:cstheme="majorBidi"/>
          <w:bCs/>
          <w:sz w:val="24"/>
          <w:szCs w:val="24"/>
        </w:rPr>
        <w:t xml:space="preserve"> kn</w:t>
      </w:r>
      <w:r>
        <w:rPr>
          <w:rFonts w:eastAsiaTheme="majorEastAsia" w:cstheme="majorBidi"/>
          <w:bCs/>
          <w:sz w:val="24"/>
          <w:szCs w:val="24"/>
        </w:rPr>
        <w:t>.</w:t>
      </w:r>
      <w:r w:rsidR="00384040">
        <w:rPr>
          <w:rFonts w:eastAsiaTheme="majorEastAsia" w:cstheme="majorBidi"/>
          <w:bCs/>
          <w:sz w:val="24"/>
          <w:szCs w:val="24"/>
        </w:rPr>
        <w:t xml:space="preserve"> </w:t>
      </w:r>
    </w:p>
    <w:p w:rsidR="00A9449F" w:rsidRPr="005D624A" w:rsidRDefault="00A9449F" w:rsidP="00D252CE">
      <w:pPr>
        <w:pStyle w:val="ListParagraph"/>
        <w:ind w:left="1069"/>
        <w:jc w:val="both"/>
        <w:rPr>
          <w:rFonts w:eastAsiaTheme="majorEastAsia" w:cstheme="majorBidi"/>
          <w:bCs/>
          <w:sz w:val="24"/>
          <w:szCs w:val="24"/>
        </w:rPr>
      </w:pPr>
    </w:p>
    <w:p w:rsidR="007F5946" w:rsidRDefault="0095537B" w:rsidP="0095537B">
      <w:pPr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>U Uma</w:t>
      </w:r>
      <w:r w:rsidR="006C56DE" w:rsidRPr="005D624A">
        <w:rPr>
          <w:rFonts w:eastAsiaTheme="majorEastAsia" w:cstheme="majorBidi"/>
          <w:bCs/>
          <w:sz w:val="24"/>
          <w:szCs w:val="24"/>
        </w:rPr>
        <w:t>gu</w:t>
      </w:r>
      <w:r w:rsidR="00A9449F" w:rsidRPr="005D624A">
        <w:rPr>
          <w:rFonts w:eastAsiaTheme="majorEastAsia" w:cstheme="majorBidi"/>
          <w:bCs/>
          <w:sz w:val="24"/>
          <w:szCs w:val="24"/>
        </w:rPr>
        <w:t>,</w:t>
      </w:r>
      <w:r w:rsidR="00E71D16">
        <w:rPr>
          <w:rFonts w:eastAsiaTheme="majorEastAsia" w:cstheme="majorBidi"/>
          <w:bCs/>
          <w:sz w:val="24"/>
          <w:szCs w:val="24"/>
        </w:rPr>
        <w:t xml:space="preserve"> </w:t>
      </w:r>
      <w:r w:rsidR="006F307E">
        <w:rPr>
          <w:rFonts w:eastAsiaTheme="majorEastAsia" w:cstheme="majorBidi"/>
          <w:bCs/>
          <w:sz w:val="24"/>
          <w:szCs w:val="24"/>
        </w:rPr>
        <w:t>0</w:t>
      </w:r>
      <w:r w:rsidR="00CB5025">
        <w:rPr>
          <w:rFonts w:eastAsiaTheme="majorEastAsia" w:cstheme="majorBidi"/>
          <w:bCs/>
          <w:sz w:val="24"/>
          <w:szCs w:val="24"/>
        </w:rPr>
        <w:t>8</w:t>
      </w:r>
      <w:r w:rsidR="006C56DE" w:rsidRPr="005D624A">
        <w:rPr>
          <w:rFonts w:eastAsiaTheme="majorEastAsia" w:cstheme="majorBidi"/>
          <w:bCs/>
          <w:sz w:val="24"/>
          <w:szCs w:val="24"/>
        </w:rPr>
        <w:t>.</w:t>
      </w:r>
      <w:r w:rsidR="00B33882">
        <w:rPr>
          <w:rFonts w:eastAsiaTheme="majorEastAsia" w:cstheme="majorBidi"/>
          <w:bCs/>
          <w:sz w:val="24"/>
          <w:szCs w:val="24"/>
        </w:rPr>
        <w:t xml:space="preserve"> srpnja</w:t>
      </w:r>
      <w:r w:rsidR="00FC0391">
        <w:rPr>
          <w:rFonts w:eastAsiaTheme="majorEastAsia" w:cstheme="majorBidi"/>
          <w:bCs/>
          <w:sz w:val="24"/>
          <w:szCs w:val="24"/>
        </w:rPr>
        <w:t xml:space="preserve"> 202</w:t>
      </w:r>
      <w:r w:rsidR="00CB5025">
        <w:rPr>
          <w:rFonts w:eastAsiaTheme="majorEastAsia" w:cstheme="majorBidi"/>
          <w:bCs/>
          <w:sz w:val="24"/>
          <w:szCs w:val="24"/>
        </w:rPr>
        <w:t>4</w:t>
      </w:r>
      <w:r w:rsidR="00A9449F" w:rsidRPr="005D624A">
        <w:rPr>
          <w:rFonts w:eastAsiaTheme="majorEastAsia" w:cstheme="majorBidi"/>
          <w:bCs/>
          <w:sz w:val="24"/>
          <w:szCs w:val="24"/>
        </w:rPr>
        <w:t>. godine.</w:t>
      </w:r>
      <w:r w:rsidR="006C56DE" w:rsidRPr="005D624A">
        <w:rPr>
          <w:rFonts w:eastAsiaTheme="majorEastAsia" w:cstheme="majorBidi"/>
          <w:bCs/>
          <w:sz w:val="24"/>
          <w:szCs w:val="24"/>
        </w:rPr>
        <w:tab/>
      </w:r>
      <w:r w:rsidR="006C56DE" w:rsidRPr="005D624A">
        <w:rPr>
          <w:rFonts w:eastAsiaTheme="majorEastAsia" w:cstheme="majorBidi"/>
          <w:bCs/>
          <w:sz w:val="24"/>
          <w:szCs w:val="24"/>
        </w:rPr>
        <w:tab/>
      </w:r>
      <w:r w:rsidR="006C56DE" w:rsidRPr="005D624A">
        <w:rPr>
          <w:rFonts w:eastAsiaTheme="majorEastAsia" w:cstheme="majorBidi"/>
          <w:bCs/>
          <w:sz w:val="24"/>
          <w:szCs w:val="24"/>
        </w:rPr>
        <w:tab/>
      </w:r>
      <w:r w:rsidR="006C56DE" w:rsidRPr="005D624A">
        <w:rPr>
          <w:rFonts w:eastAsiaTheme="majorEastAsia" w:cstheme="majorBidi"/>
          <w:bCs/>
          <w:sz w:val="24"/>
          <w:szCs w:val="24"/>
        </w:rPr>
        <w:tab/>
      </w:r>
    </w:p>
    <w:p w:rsidR="0069128B" w:rsidRPr="005D624A" w:rsidRDefault="006C56DE" w:rsidP="007F5946">
      <w:pPr>
        <w:ind w:left="6372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 xml:space="preserve">Ravnatelj: </w:t>
      </w:r>
    </w:p>
    <w:p w:rsidR="00D252CE" w:rsidRPr="005D624A" w:rsidRDefault="006C56DE" w:rsidP="0069128B">
      <w:pPr>
        <w:ind w:left="5664" w:firstLine="708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>Neven Ušumović</w:t>
      </w:r>
    </w:p>
    <w:sectPr w:rsidR="00D252CE" w:rsidRPr="005D624A" w:rsidSect="007C60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D02" w:rsidRDefault="00316D02" w:rsidP="0072465E">
      <w:pPr>
        <w:spacing w:after="0" w:line="240" w:lineRule="auto"/>
      </w:pPr>
      <w:r>
        <w:separator/>
      </w:r>
    </w:p>
  </w:endnote>
  <w:endnote w:type="continuationSeparator" w:id="0">
    <w:p w:rsidR="00316D02" w:rsidRDefault="00316D02" w:rsidP="0072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54725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13E9" w:rsidRDefault="007C6010">
        <w:pPr>
          <w:pStyle w:val="Footer"/>
          <w:jc w:val="right"/>
        </w:pPr>
        <w:r>
          <w:fldChar w:fldCharType="begin"/>
        </w:r>
        <w:r w:rsidR="002113E9">
          <w:instrText xml:space="preserve"> PAGE   \* MERGEFORMAT </w:instrText>
        </w:r>
        <w:r>
          <w:fldChar w:fldCharType="separate"/>
        </w:r>
        <w:r w:rsidR="001C37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E9" w:rsidRDefault="00211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D02" w:rsidRDefault="00316D02" w:rsidP="0072465E">
      <w:pPr>
        <w:spacing w:after="0" w:line="240" w:lineRule="auto"/>
      </w:pPr>
      <w:r>
        <w:separator/>
      </w:r>
    </w:p>
  </w:footnote>
  <w:footnote w:type="continuationSeparator" w:id="0">
    <w:p w:rsidR="00316D02" w:rsidRDefault="00316D02" w:rsidP="00724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37DB"/>
    <w:multiLevelType w:val="hybridMultilevel"/>
    <w:tmpl w:val="537E6B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04FC"/>
    <w:multiLevelType w:val="multilevel"/>
    <w:tmpl w:val="DD00C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5165A1"/>
    <w:multiLevelType w:val="hybridMultilevel"/>
    <w:tmpl w:val="59DCE7C8"/>
    <w:lvl w:ilvl="0" w:tplc="2C227268">
      <w:start w:val="3"/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35828"/>
    <w:multiLevelType w:val="multilevel"/>
    <w:tmpl w:val="99B2F1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</w:rPr>
    </w:lvl>
  </w:abstractNum>
  <w:abstractNum w:abstractNumId="4" w15:restartNumberingAfterBreak="0">
    <w:nsid w:val="23814A82"/>
    <w:multiLevelType w:val="hybridMultilevel"/>
    <w:tmpl w:val="340C1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57739"/>
    <w:multiLevelType w:val="multilevel"/>
    <w:tmpl w:val="E5FA2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44913C88"/>
    <w:multiLevelType w:val="multilevel"/>
    <w:tmpl w:val="C35A0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4B0C4D91"/>
    <w:multiLevelType w:val="hybridMultilevel"/>
    <w:tmpl w:val="DA824EC4"/>
    <w:lvl w:ilvl="0" w:tplc="7E0CFF62">
      <w:start w:val="2"/>
      <w:numFmt w:val="bullet"/>
      <w:lvlText w:val="-"/>
      <w:lvlJc w:val="left"/>
      <w:pPr>
        <w:ind w:left="1080" w:hanging="360"/>
      </w:pPr>
      <w:rPr>
        <w:rFonts w:ascii="Calibri" w:eastAsiaTheme="majorEastAsia" w:hAnsi="Calibri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F3691C"/>
    <w:multiLevelType w:val="multilevel"/>
    <w:tmpl w:val="59F20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9" w15:restartNumberingAfterBreak="0">
    <w:nsid w:val="58AA3875"/>
    <w:multiLevelType w:val="hybridMultilevel"/>
    <w:tmpl w:val="9B5A37A8"/>
    <w:lvl w:ilvl="0" w:tplc="33EC64F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C2893"/>
    <w:multiLevelType w:val="hybridMultilevel"/>
    <w:tmpl w:val="A16E7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A6B2E"/>
    <w:multiLevelType w:val="hybridMultilevel"/>
    <w:tmpl w:val="49EE9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D41FF"/>
    <w:multiLevelType w:val="hybridMultilevel"/>
    <w:tmpl w:val="A650F4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A2A28"/>
    <w:multiLevelType w:val="hybridMultilevel"/>
    <w:tmpl w:val="BF885F00"/>
    <w:lvl w:ilvl="0" w:tplc="D942766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2"/>
  </w:num>
  <w:num w:numId="5">
    <w:abstractNumId w:val="10"/>
  </w:num>
  <w:num w:numId="6">
    <w:abstractNumId w:val="11"/>
  </w:num>
  <w:num w:numId="7">
    <w:abstractNumId w:val="13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16"/>
    <w:rsid w:val="00005B56"/>
    <w:rsid w:val="000141AD"/>
    <w:rsid w:val="0001585E"/>
    <w:rsid w:val="000719BD"/>
    <w:rsid w:val="00071CB0"/>
    <w:rsid w:val="000C269A"/>
    <w:rsid w:val="000C3BDD"/>
    <w:rsid w:val="000D2ACC"/>
    <w:rsid w:val="000E1CFD"/>
    <w:rsid w:val="000F5A88"/>
    <w:rsid w:val="00110E8E"/>
    <w:rsid w:val="00113A66"/>
    <w:rsid w:val="00137C12"/>
    <w:rsid w:val="00143EB9"/>
    <w:rsid w:val="001609FD"/>
    <w:rsid w:val="00166BD5"/>
    <w:rsid w:val="00176E9D"/>
    <w:rsid w:val="0019561A"/>
    <w:rsid w:val="001A3FF9"/>
    <w:rsid w:val="001C3728"/>
    <w:rsid w:val="001E4FEF"/>
    <w:rsid w:val="001E6385"/>
    <w:rsid w:val="002113E9"/>
    <w:rsid w:val="00231FB2"/>
    <w:rsid w:val="0023683E"/>
    <w:rsid w:val="00245177"/>
    <w:rsid w:val="00273540"/>
    <w:rsid w:val="002868FE"/>
    <w:rsid w:val="00287C11"/>
    <w:rsid w:val="002929C7"/>
    <w:rsid w:val="002B1968"/>
    <w:rsid w:val="002E2BA7"/>
    <w:rsid w:val="002F79DF"/>
    <w:rsid w:val="003123AA"/>
    <w:rsid w:val="003142DE"/>
    <w:rsid w:val="00316D02"/>
    <w:rsid w:val="003637A7"/>
    <w:rsid w:val="00384040"/>
    <w:rsid w:val="00385948"/>
    <w:rsid w:val="003C22B7"/>
    <w:rsid w:val="003E0250"/>
    <w:rsid w:val="00420FF3"/>
    <w:rsid w:val="0042673B"/>
    <w:rsid w:val="0043000C"/>
    <w:rsid w:val="00433E14"/>
    <w:rsid w:val="00453FDF"/>
    <w:rsid w:val="00461F11"/>
    <w:rsid w:val="00466121"/>
    <w:rsid w:val="00467047"/>
    <w:rsid w:val="00496EB0"/>
    <w:rsid w:val="005A5BE0"/>
    <w:rsid w:val="005C07A1"/>
    <w:rsid w:val="005D624A"/>
    <w:rsid w:val="005F30AD"/>
    <w:rsid w:val="005F338C"/>
    <w:rsid w:val="006044EB"/>
    <w:rsid w:val="00633995"/>
    <w:rsid w:val="00661CE7"/>
    <w:rsid w:val="00687659"/>
    <w:rsid w:val="0069128B"/>
    <w:rsid w:val="00697D7C"/>
    <w:rsid w:val="006A0695"/>
    <w:rsid w:val="006A43C5"/>
    <w:rsid w:val="006B2BD2"/>
    <w:rsid w:val="006C56DE"/>
    <w:rsid w:val="006F307E"/>
    <w:rsid w:val="006F636C"/>
    <w:rsid w:val="007044A1"/>
    <w:rsid w:val="0072465E"/>
    <w:rsid w:val="007461E9"/>
    <w:rsid w:val="00780301"/>
    <w:rsid w:val="007A1DBC"/>
    <w:rsid w:val="007A4D16"/>
    <w:rsid w:val="007C6010"/>
    <w:rsid w:val="007D79AF"/>
    <w:rsid w:val="007F572D"/>
    <w:rsid w:val="007F5946"/>
    <w:rsid w:val="008142BB"/>
    <w:rsid w:val="00821EC0"/>
    <w:rsid w:val="0083728B"/>
    <w:rsid w:val="00891FE0"/>
    <w:rsid w:val="008D726E"/>
    <w:rsid w:val="008E0B57"/>
    <w:rsid w:val="008E1E8F"/>
    <w:rsid w:val="00912779"/>
    <w:rsid w:val="00914E48"/>
    <w:rsid w:val="00915A7D"/>
    <w:rsid w:val="00921128"/>
    <w:rsid w:val="00927BFB"/>
    <w:rsid w:val="0094070D"/>
    <w:rsid w:val="0095537B"/>
    <w:rsid w:val="00964B45"/>
    <w:rsid w:val="0097036B"/>
    <w:rsid w:val="009814B1"/>
    <w:rsid w:val="009B15EF"/>
    <w:rsid w:val="009B3332"/>
    <w:rsid w:val="009D2246"/>
    <w:rsid w:val="009E01AE"/>
    <w:rsid w:val="00A1165C"/>
    <w:rsid w:val="00A601CF"/>
    <w:rsid w:val="00A661A9"/>
    <w:rsid w:val="00A75017"/>
    <w:rsid w:val="00A9449F"/>
    <w:rsid w:val="00AC1E37"/>
    <w:rsid w:val="00AC3754"/>
    <w:rsid w:val="00AD40A2"/>
    <w:rsid w:val="00AE301A"/>
    <w:rsid w:val="00B155EB"/>
    <w:rsid w:val="00B25ABF"/>
    <w:rsid w:val="00B33882"/>
    <w:rsid w:val="00B406E4"/>
    <w:rsid w:val="00B410BB"/>
    <w:rsid w:val="00B82A3E"/>
    <w:rsid w:val="00BB1E35"/>
    <w:rsid w:val="00BB6F25"/>
    <w:rsid w:val="00BC4BA9"/>
    <w:rsid w:val="00BE24A2"/>
    <w:rsid w:val="00BF7579"/>
    <w:rsid w:val="00C1214E"/>
    <w:rsid w:val="00C13358"/>
    <w:rsid w:val="00C31F84"/>
    <w:rsid w:val="00C464FE"/>
    <w:rsid w:val="00C46F89"/>
    <w:rsid w:val="00C478F9"/>
    <w:rsid w:val="00C52F99"/>
    <w:rsid w:val="00C64F4B"/>
    <w:rsid w:val="00C75DDF"/>
    <w:rsid w:val="00CA4BC6"/>
    <w:rsid w:val="00CB5025"/>
    <w:rsid w:val="00CB7D74"/>
    <w:rsid w:val="00CC19B2"/>
    <w:rsid w:val="00CC7D82"/>
    <w:rsid w:val="00CD137D"/>
    <w:rsid w:val="00CF2DD8"/>
    <w:rsid w:val="00D07F1C"/>
    <w:rsid w:val="00D11DB5"/>
    <w:rsid w:val="00D252CE"/>
    <w:rsid w:val="00D32A17"/>
    <w:rsid w:val="00D46287"/>
    <w:rsid w:val="00D53491"/>
    <w:rsid w:val="00D5401B"/>
    <w:rsid w:val="00D54537"/>
    <w:rsid w:val="00D737B5"/>
    <w:rsid w:val="00D764D9"/>
    <w:rsid w:val="00D9702B"/>
    <w:rsid w:val="00DB211A"/>
    <w:rsid w:val="00DB5B1E"/>
    <w:rsid w:val="00DC67C2"/>
    <w:rsid w:val="00DE0A81"/>
    <w:rsid w:val="00DE619E"/>
    <w:rsid w:val="00DF3242"/>
    <w:rsid w:val="00E01555"/>
    <w:rsid w:val="00E35A45"/>
    <w:rsid w:val="00E41679"/>
    <w:rsid w:val="00E46B5B"/>
    <w:rsid w:val="00E62681"/>
    <w:rsid w:val="00E71D16"/>
    <w:rsid w:val="00E73CCF"/>
    <w:rsid w:val="00E96B0D"/>
    <w:rsid w:val="00EB6058"/>
    <w:rsid w:val="00ED3EFC"/>
    <w:rsid w:val="00ED4EFF"/>
    <w:rsid w:val="00F12019"/>
    <w:rsid w:val="00F2632E"/>
    <w:rsid w:val="00F3251F"/>
    <w:rsid w:val="00F354DD"/>
    <w:rsid w:val="00F7564B"/>
    <w:rsid w:val="00F86F13"/>
    <w:rsid w:val="00FA2467"/>
    <w:rsid w:val="00FC0391"/>
    <w:rsid w:val="00FC4AA1"/>
    <w:rsid w:val="00FE45F4"/>
    <w:rsid w:val="00FE4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6767C-6B73-42A5-B173-6ADBB48D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11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65E"/>
  </w:style>
  <w:style w:type="paragraph" w:styleId="Footer">
    <w:name w:val="footer"/>
    <w:basedOn w:val="Normal"/>
    <w:link w:val="FooterChar"/>
    <w:uiPriority w:val="99"/>
    <w:unhideWhenUsed/>
    <w:rsid w:val="00724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65E"/>
  </w:style>
  <w:style w:type="paragraph" w:styleId="BalloonText">
    <w:name w:val="Balloon Text"/>
    <w:basedOn w:val="Normal"/>
    <w:link w:val="BalloonTextChar"/>
    <w:uiPriority w:val="99"/>
    <w:semiHidden/>
    <w:unhideWhenUsed/>
    <w:rsid w:val="0046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47"/>
    <w:rPr>
      <w:rFonts w:ascii="Tahoma" w:hAnsi="Tahoma" w:cs="Tahoma"/>
      <w:sz w:val="16"/>
      <w:szCs w:val="16"/>
    </w:rPr>
  </w:style>
  <w:style w:type="paragraph" w:customStyle="1" w:styleId="EmptyCellLayoutStyle">
    <w:name w:val="EmptyCellLayoutStyle"/>
    <w:rsid w:val="009B15EF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en-GB" w:eastAsia="en-GB"/>
    </w:rPr>
  </w:style>
  <w:style w:type="paragraph" w:styleId="NoSpacing">
    <w:name w:val="No Spacing"/>
    <w:uiPriority w:val="1"/>
    <w:qFormat/>
    <w:rsid w:val="00D970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E18BB-3C5F-411D-9942-C173C7B2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Umag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Milinković</dc:creator>
  <cp:lastModifiedBy>Ines Sever</cp:lastModifiedBy>
  <cp:revision>2</cp:revision>
  <cp:lastPrinted>2017-01-27T13:47:00Z</cp:lastPrinted>
  <dcterms:created xsi:type="dcterms:W3CDTF">2024-07-08T10:44:00Z</dcterms:created>
  <dcterms:modified xsi:type="dcterms:W3CDTF">2024-07-08T10:44:00Z</dcterms:modified>
</cp:coreProperties>
</file>